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F4EC" w14:textId="77777777" w:rsidR="006A0D71" w:rsidRPr="00851D91" w:rsidRDefault="006A0D71" w:rsidP="006A0D71">
      <w:pPr>
        <w:jc w:val="center"/>
        <w:rPr>
          <w:rFonts w:ascii="Palatino Linotype" w:hAnsi="Palatino Linotype"/>
          <w:b/>
          <w:smallCaps/>
          <w:sz w:val="28"/>
          <w:szCs w:val="28"/>
        </w:rPr>
      </w:pPr>
      <w:r w:rsidRPr="00851D91">
        <w:rPr>
          <w:rFonts w:ascii="Palatino Linotype" w:hAnsi="Palatino Linotype"/>
          <w:b/>
          <w:smallCaps/>
          <w:sz w:val="28"/>
          <w:szCs w:val="28"/>
        </w:rPr>
        <w:t>Santa Clara County Clerk-Recorder’s Office</w:t>
      </w:r>
    </w:p>
    <w:p w14:paraId="2488D342" w14:textId="77777777" w:rsidR="006A0D71" w:rsidRPr="00851D91" w:rsidRDefault="006A0D71" w:rsidP="006A0D71">
      <w:pPr>
        <w:jc w:val="center"/>
        <w:rPr>
          <w:rFonts w:ascii="Palatino Linotype" w:hAnsi="Palatino Linotype"/>
          <w:b/>
          <w:smallCaps/>
          <w:sz w:val="28"/>
          <w:szCs w:val="28"/>
        </w:rPr>
      </w:pPr>
      <w:r w:rsidRPr="00851D91">
        <w:rPr>
          <w:rFonts w:ascii="Palatino Linotype" w:hAnsi="Palatino Linotype"/>
          <w:b/>
          <w:smallCaps/>
          <w:sz w:val="28"/>
          <w:szCs w:val="28"/>
        </w:rPr>
        <w:t>Restrictive Covenant Modification Program</w:t>
      </w:r>
    </w:p>
    <w:p w14:paraId="301D566E" w14:textId="38B46742" w:rsidR="006A0D71" w:rsidRPr="00851D91" w:rsidRDefault="00856450" w:rsidP="00856450">
      <w:pPr>
        <w:tabs>
          <w:tab w:val="left" w:pos="230"/>
          <w:tab w:val="center" w:pos="4680"/>
        </w:tabs>
        <w:rPr>
          <w:rFonts w:ascii="Palatino Linotype" w:hAnsi="Palatino Linotype"/>
          <w:b/>
          <w:smallCaps/>
          <w:sz w:val="28"/>
          <w:szCs w:val="28"/>
        </w:rPr>
      </w:pPr>
      <w:r>
        <w:rPr>
          <w:rFonts w:ascii="Palatino Linotype" w:hAnsi="Palatino Linotype"/>
          <w:b/>
          <w:smallCaps/>
          <w:sz w:val="28"/>
          <w:szCs w:val="28"/>
        </w:rPr>
        <w:tab/>
      </w:r>
      <w:r>
        <w:rPr>
          <w:rFonts w:ascii="Palatino Linotype" w:hAnsi="Palatino Linotype"/>
          <w:b/>
          <w:smallCaps/>
          <w:sz w:val="28"/>
          <w:szCs w:val="28"/>
        </w:rPr>
        <w:tab/>
      </w:r>
      <w:r w:rsidR="006A0D71" w:rsidRPr="00851D91">
        <w:rPr>
          <w:rFonts w:ascii="Palatino Linotype" w:hAnsi="Palatino Linotype"/>
          <w:b/>
          <w:smallCaps/>
          <w:sz w:val="28"/>
          <w:szCs w:val="28"/>
        </w:rPr>
        <w:t>Implementation Plan</w:t>
      </w:r>
    </w:p>
    <w:p w14:paraId="7089906D" w14:textId="77777777" w:rsidR="006A0D71" w:rsidRPr="00851D91" w:rsidRDefault="006A0D71" w:rsidP="006A0D71">
      <w:pPr>
        <w:jc w:val="center"/>
        <w:rPr>
          <w:rFonts w:ascii="Palatino Linotype" w:hAnsi="Palatino Linotype"/>
          <w:sz w:val="24"/>
          <w:szCs w:val="24"/>
        </w:rPr>
      </w:pPr>
    </w:p>
    <w:p w14:paraId="687696F6" w14:textId="77777777" w:rsidR="006A0D71" w:rsidRPr="00851D91" w:rsidRDefault="006A0D71" w:rsidP="006A0D71">
      <w:pPr>
        <w:rPr>
          <w:rFonts w:ascii="Palatino Linotype" w:hAnsi="Palatino Linotype"/>
          <w:b/>
          <w:bCs/>
          <w:sz w:val="24"/>
          <w:szCs w:val="24"/>
          <w:u w:val="single"/>
        </w:rPr>
      </w:pPr>
      <w:r w:rsidRPr="00851D91">
        <w:rPr>
          <w:rFonts w:ascii="Palatino Linotype" w:hAnsi="Palatino Linotype"/>
          <w:b/>
          <w:bCs/>
          <w:sz w:val="24"/>
          <w:szCs w:val="24"/>
          <w:u w:val="single"/>
        </w:rPr>
        <w:t>Background</w:t>
      </w:r>
    </w:p>
    <w:p w14:paraId="288A54D4" w14:textId="77777777" w:rsidR="006A0D71" w:rsidRPr="00851D91" w:rsidRDefault="006A0D71" w:rsidP="006A0D71">
      <w:pPr>
        <w:rPr>
          <w:rFonts w:ascii="Palatino Linotype" w:hAnsi="Palatino Linotype"/>
          <w:sz w:val="24"/>
          <w:szCs w:val="24"/>
        </w:rPr>
      </w:pPr>
      <w:r w:rsidRPr="00851D91">
        <w:rPr>
          <w:rFonts w:ascii="Palatino Linotype" w:hAnsi="Palatino Linotype"/>
          <w:sz w:val="24"/>
          <w:szCs w:val="24"/>
        </w:rPr>
        <w:tab/>
        <w:t>The California Fair Employment and Housing Act prohibits discrimination in housing based on race, color, religion, sex, gender, gender identity, gender expression, sexual orientation, marital status, national origin, ancestry, familial status, source of income, disability, veteran or military status, or genetic information. Government Code section 12956.2(a) provides that any deed or other recorded instrument that contains unlawfully discriminatory language forbidding or restricting the right of any person to sell, buy, lease, rent, use or occupy the property on account of any of the characteristics specified above, may be revised to remove such unlawful language.</w:t>
      </w:r>
      <w:r w:rsidRPr="00851D91">
        <w:rPr>
          <w:rFonts w:ascii="Palatino Linotype" w:hAnsi="Palatino Linotype"/>
          <w:sz w:val="24"/>
          <w:szCs w:val="24"/>
        </w:rPr>
        <w:tab/>
        <w:t>A person who holds an ownership interest in property that believes the property is the subject of an unlawfully restrictive covenant may submit for recordation a Restrictive Covenant Modification document. If the existence of unlawfully restrictive language is confirmed by County Counsel, the modification document is recorded with the unlawful restrictive covenant redacted.</w:t>
      </w:r>
    </w:p>
    <w:p w14:paraId="5DE50D59" w14:textId="77777777" w:rsidR="006A0D71" w:rsidRPr="00851D91" w:rsidRDefault="006A0D71" w:rsidP="006A0D71">
      <w:pPr>
        <w:rPr>
          <w:rFonts w:ascii="Palatino Linotype" w:hAnsi="Palatino Linotype"/>
          <w:sz w:val="24"/>
          <w:szCs w:val="24"/>
        </w:rPr>
      </w:pPr>
      <w:r w:rsidRPr="00851D91">
        <w:rPr>
          <w:rFonts w:ascii="Palatino Linotype" w:hAnsi="Palatino Linotype"/>
          <w:sz w:val="24"/>
          <w:szCs w:val="24"/>
        </w:rPr>
        <w:tab/>
        <w:t xml:space="preserve">Pursuant to the 2021 legislation set forth in Assembly Bill (AB) 1466  and California Government Code Section 12956.3 (GC §12956.3), the Santa Clara County Clerk-Recorder’s Office (CRO) has developed the following Restrictive Covenant Modification Program Implementation Plan (Plan).  </w:t>
      </w:r>
      <w:r>
        <w:rPr>
          <w:rFonts w:ascii="Palatino Linotype" w:hAnsi="Palatino Linotype"/>
          <w:sz w:val="24"/>
          <w:szCs w:val="24"/>
        </w:rPr>
        <w:t xml:space="preserve">It </w:t>
      </w:r>
      <w:r w:rsidRPr="00851D91">
        <w:rPr>
          <w:rFonts w:ascii="Palatino Linotype" w:hAnsi="Palatino Linotype"/>
          <w:sz w:val="24"/>
          <w:szCs w:val="24"/>
        </w:rPr>
        <w:t>has been developed on the principle of identifying any unlawful language contained within our records, most notably the restrictive covenants, and once located, we will record redactions consistent with AB1466.</w:t>
      </w:r>
    </w:p>
    <w:p w14:paraId="373E0259" w14:textId="77777777" w:rsidR="006A0D71" w:rsidRPr="00851D91" w:rsidRDefault="006A0D71" w:rsidP="006A0D71">
      <w:pPr>
        <w:rPr>
          <w:rFonts w:ascii="Palatino Linotype" w:hAnsi="Palatino Linotype"/>
          <w:b/>
          <w:bCs/>
          <w:sz w:val="24"/>
          <w:szCs w:val="24"/>
          <w:u w:val="single"/>
        </w:rPr>
      </w:pPr>
      <w:r w:rsidRPr="00851D91">
        <w:rPr>
          <w:rFonts w:ascii="Palatino Linotype" w:hAnsi="Palatino Linotype"/>
          <w:b/>
          <w:bCs/>
          <w:sz w:val="24"/>
          <w:szCs w:val="24"/>
          <w:u w:val="single"/>
        </w:rPr>
        <w:t>Plan</w:t>
      </w:r>
    </w:p>
    <w:p w14:paraId="60ECE333" w14:textId="1F92F372" w:rsidR="006A0D71" w:rsidRDefault="006A0D71" w:rsidP="006A0D71">
      <w:pPr>
        <w:rPr>
          <w:rFonts w:ascii="Palatino Linotype" w:hAnsi="Palatino Linotype"/>
          <w:sz w:val="24"/>
          <w:szCs w:val="24"/>
        </w:rPr>
      </w:pPr>
      <w:r w:rsidRPr="00851D91">
        <w:rPr>
          <w:rFonts w:ascii="Palatino Linotype" w:hAnsi="Palatino Linotype"/>
          <w:sz w:val="24"/>
          <w:szCs w:val="24"/>
        </w:rPr>
        <w:tab/>
        <w:t xml:space="preserve">A multi-faceted approach to this program is the most effective means to accomplishing compliance with the guidelines of AB1466.  The initial facet is the location or identification of any documents with potential unlawful language contained in our records.  The objective of locating the unlawful language in a document is not a quick nor simple task.  </w:t>
      </w:r>
    </w:p>
    <w:p w14:paraId="7AD517AE" w14:textId="77777777" w:rsidR="006A0D71" w:rsidRDefault="006A0D71" w:rsidP="006A0D71">
      <w:pPr>
        <w:rPr>
          <w:rFonts w:ascii="Palatino Linotype" w:hAnsi="Palatino Linotype"/>
          <w:sz w:val="24"/>
          <w:szCs w:val="24"/>
        </w:rPr>
      </w:pPr>
    </w:p>
    <w:p w14:paraId="5BFA6D96" w14:textId="77777777" w:rsidR="006A0D71" w:rsidRPr="0016231A" w:rsidRDefault="006A0D71" w:rsidP="006A0D71">
      <w:pPr>
        <w:rPr>
          <w:rFonts w:ascii="Palatino Linotype" w:hAnsi="Palatino Linotype"/>
          <w:b/>
          <w:bCs/>
          <w:sz w:val="24"/>
          <w:szCs w:val="24"/>
          <w:u w:val="single"/>
        </w:rPr>
      </w:pPr>
      <w:r w:rsidRPr="0016231A">
        <w:rPr>
          <w:rFonts w:ascii="Palatino Linotype" w:hAnsi="Palatino Linotype"/>
          <w:b/>
          <w:bCs/>
          <w:sz w:val="24"/>
          <w:szCs w:val="24"/>
          <w:u w:val="single"/>
        </w:rPr>
        <w:lastRenderedPageBreak/>
        <w:t>Milestones and Timeline</w:t>
      </w:r>
    </w:p>
    <w:p w14:paraId="314B0B9A" w14:textId="77777777" w:rsidR="006A0D71" w:rsidRDefault="006A0D71" w:rsidP="006A0D71">
      <w:pPr>
        <w:ind w:firstLine="720"/>
        <w:rPr>
          <w:rFonts w:ascii="Palatino Linotype" w:hAnsi="Palatino Linotype"/>
          <w:sz w:val="24"/>
          <w:szCs w:val="24"/>
        </w:rPr>
      </w:pPr>
      <w:r w:rsidRPr="00851D91">
        <w:rPr>
          <w:rFonts w:ascii="Palatino Linotype" w:hAnsi="Palatino Linotype"/>
          <w:sz w:val="24"/>
          <w:szCs w:val="24"/>
        </w:rPr>
        <w:t>We determined that our office possess approximately 24 million documents in our records.  Our goal is to complete the review of our existing 24 million records at a rate of 4 million documents per year, ending by December 2027.</w:t>
      </w:r>
    </w:p>
    <w:p w14:paraId="2708F34E" w14:textId="77777777" w:rsidR="006A0D71" w:rsidRDefault="006A0D71" w:rsidP="006A0D71">
      <w:pPr>
        <w:rPr>
          <w:rFonts w:ascii="Palatino Linotype" w:hAnsi="Palatino Linotype"/>
          <w:sz w:val="24"/>
          <w:szCs w:val="24"/>
        </w:rPr>
      </w:pPr>
    </w:p>
    <w:tbl>
      <w:tblPr>
        <w:tblStyle w:val="TableGrid"/>
        <w:tblW w:w="0" w:type="auto"/>
        <w:jc w:val="center"/>
        <w:tblLook w:val="04A0" w:firstRow="1" w:lastRow="0" w:firstColumn="1" w:lastColumn="0" w:noHBand="0" w:noVBand="1"/>
      </w:tblPr>
      <w:tblGrid>
        <w:gridCol w:w="1116"/>
        <w:gridCol w:w="1914"/>
        <w:gridCol w:w="3175"/>
      </w:tblGrid>
      <w:tr w:rsidR="006A0D71" w14:paraId="2C2BAEE6" w14:textId="77777777" w:rsidTr="00C90179">
        <w:trPr>
          <w:jc w:val="center"/>
        </w:trPr>
        <w:tc>
          <w:tcPr>
            <w:tcW w:w="1116" w:type="dxa"/>
          </w:tcPr>
          <w:p w14:paraId="1D6AC171" w14:textId="77777777" w:rsidR="006A0D71" w:rsidRPr="00B36F2D" w:rsidRDefault="006A0D71" w:rsidP="00C90179">
            <w:pPr>
              <w:jc w:val="center"/>
              <w:rPr>
                <w:rFonts w:ascii="Palatino Linotype" w:hAnsi="Palatino Linotype"/>
                <w:b/>
                <w:bCs/>
                <w:sz w:val="24"/>
                <w:szCs w:val="24"/>
              </w:rPr>
            </w:pPr>
            <w:r w:rsidRPr="00B36F2D">
              <w:rPr>
                <w:rFonts w:ascii="Palatino Linotype" w:hAnsi="Palatino Linotype"/>
                <w:b/>
                <w:bCs/>
                <w:sz w:val="24"/>
                <w:szCs w:val="24"/>
              </w:rPr>
              <w:t>YEARS</w:t>
            </w:r>
          </w:p>
        </w:tc>
        <w:tc>
          <w:tcPr>
            <w:tcW w:w="1914" w:type="dxa"/>
          </w:tcPr>
          <w:p w14:paraId="238BD82E" w14:textId="77777777" w:rsidR="006A0D71" w:rsidRPr="00B36F2D" w:rsidRDefault="006A0D71" w:rsidP="00C90179">
            <w:pPr>
              <w:jc w:val="center"/>
              <w:rPr>
                <w:rFonts w:ascii="Palatino Linotype" w:hAnsi="Palatino Linotype"/>
                <w:b/>
                <w:bCs/>
                <w:sz w:val="24"/>
                <w:szCs w:val="24"/>
              </w:rPr>
            </w:pPr>
            <w:r w:rsidRPr="00B36F2D">
              <w:rPr>
                <w:rFonts w:ascii="Palatino Linotype" w:hAnsi="Palatino Linotype"/>
                <w:b/>
                <w:bCs/>
                <w:sz w:val="24"/>
                <w:szCs w:val="24"/>
              </w:rPr>
              <w:t>DOCUMENTS</w:t>
            </w:r>
          </w:p>
        </w:tc>
        <w:tc>
          <w:tcPr>
            <w:tcW w:w="3175" w:type="dxa"/>
          </w:tcPr>
          <w:p w14:paraId="46F1252B" w14:textId="77777777" w:rsidR="006A0D71" w:rsidRPr="00B36F2D" w:rsidRDefault="006A0D71" w:rsidP="00C90179">
            <w:pPr>
              <w:jc w:val="center"/>
              <w:rPr>
                <w:rFonts w:ascii="Palatino Linotype" w:hAnsi="Palatino Linotype"/>
                <w:b/>
                <w:bCs/>
                <w:sz w:val="24"/>
                <w:szCs w:val="24"/>
              </w:rPr>
            </w:pPr>
            <w:r>
              <w:rPr>
                <w:rFonts w:ascii="Palatino Linotype" w:hAnsi="Palatino Linotype"/>
                <w:b/>
                <w:bCs/>
                <w:sz w:val="24"/>
                <w:szCs w:val="24"/>
              </w:rPr>
              <w:t># of IMAGES (approx. 3.5 images per document</w:t>
            </w:r>
          </w:p>
        </w:tc>
      </w:tr>
      <w:tr w:rsidR="006A0D71" w14:paraId="72E45F3E" w14:textId="77777777" w:rsidTr="00C90179">
        <w:trPr>
          <w:jc w:val="center"/>
        </w:trPr>
        <w:tc>
          <w:tcPr>
            <w:tcW w:w="1116" w:type="dxa"/>
          </w:tcPr>
          <w:p w14:paraId="22E183F3" w14:textId="77777777" w:rsidR="006A0D71" w:rsidRPr="00B36F2D" w:rsidRDefault="006A0D71" w:rsidP="00C90179">
            <w:pPr>
              <w:jc w:val="center"/>
              <w:rPr>
                <w:rFonts w:ascii="Palatino Linotype" w:hAnsi="Palatino Linotype"/>
                <w:b/>
                <w:bCs/>
                <w:sz w:val="24"/>
                <w:szCs w:val="24"/>
              </w:rPr>
            </w:pPr>
            <w:r w:rsidRPr="00B36F2D">
              <w:rPr>
                <w:rFonts w:ascii="Palatino Linotype" w:hAnsi="Palatino Linotype"/>
                <w:b/>
                <w:bCs/>
                <w:sz w:val="24"/>
                <w:szCs w:val="24"/>
              </w:rPr>
              <w:t>2022</w:t>
            </w:r>
          </w:p>
        </w:tc>
        <w:tc>
          <w:tcPr>
            <w:tcW w:w="1914" w:type="dxa"/>
          </w:tcPr>
          <w:p w14:paraId="408FC550"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2,400,000</w:t>
            </w:r>
          </w:p>
        </w:tc>
        <w:tc>
          <w:tcPr>
            <w:tcW w:w="3175" w:type="dxa"/>
          </w:tcPr>
          <w:p w14:paraId="66916534"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8,400,000</w:t>
            </w:r>
          </w:p>
        </w:tc>
      </w:tr>
      <w:tr w:rsidR="006A0D71" w14:paraId="202DCB1F" w14:textId="77777777" w:rsidTr="00C90179">
        <w:trPr>
          <w:jc w:val="center"/>
        </w:trPr>
        <w:tc>
          <w:tcPr>
            <w:tcW w:w="1116" w:type="dxa"/>
          </w:tcPr>
          <w:p w14:paraId="3E26C82E" w14:textId="77777777" w:rsidR="006A0D71" w:rsidRPr="00B36F2D" w:rsidRDefault="006A0D71" w:rsidP="00C90179">
            <w:pPr>
              <w:jc w:val="center"/>
              <w:rPr>
                <w:rFonts w:ascii="Palatino Linotype" w:hAnsi="Palatino Linotype"/>
                <w:b/>
                <w:bCs/>
                <w:sz w:val="24"/>
                <w:szCs w:val="24"/>
              </w:rPr>
            </w:pPr>
            <w:r w:rsidRPr="00B36F2D">
              <w:rPr>
                <w:rFonts w:ascii="Palatino Linotype" w:hAnsi="Palatino Linotype"/>
                <w:b/>
                <w:bCs/>
                <w:sz w:val="24"/>
                <w:szCs w:val="24"/>
              </w:rPr>
              <w:t>2023</w:t>
            </w:r>
          </w:p>
        </w:tc>
        <w:tc>
          <w:tcPr>
            <w:tcW w:w="1914" w:type="dxa"/>
          </w:tcPr>
          <w:p w14:paraId="70DA73E2"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4,320,000</w:t>
            </w:r>
          </w:p>
        </w:tc>
        <w:tc>
          <w:tcPr>
            <w:tcW w:w="3175" w:type="dxa"/>
          </w:tcPr>
          <w:p w14:paraId="079CA9E1"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15,120,000</w:t>
            </w:r>
          </w:p>
        </w:tc>
      </w:tr>
      <w:tr w:rsidR="006A0D71" w14:paraId="5C283782" w14:textId="77777777" w:rsidTr="00C90179">
        <w:trPr>
          <w:jc w:val="center"/>
        </w:trPr>
        <w:tc>
          <w:tcPr>
            <w:tcW w:w="1116" w:type="dxa"/>
          </w:tcPr>
          <w:p w14:paraId="17D62873" w14:textId="77777777" w:rsidR="006A0D71" w:rsidRPr="00B36F2D" w:rsidRDefault="006A0D71" w:rsidP="00C90179">
            <w:pPr>
              <w:jc w:val="center"/>
              <w:rPr>
                <w:rFonts w:ascii="Palatino Linotype" w:hAnsi="Palatino Linotype"/>
                <w:b/>
                <w:bCs/>
                <w:sz w:val="24"/>
                <w:szCs w:val="24"/>
              </w:rPr>
            </w:pPr>
            <w:r w:rsidRPr="00B36F2D">
              <w:rPr>
                <w:rFonts w:ascii="Palatino Linotype" w:hAnsi="Palatino Linotype"/>
                <w:b/>
                <w:bCs/>
                <w:sz w:val="24"/>
                <w:szCs w:val="24"/>
              </w:rPr>
              <w:t>2024</w:t>
            </w:r>
          </w:p>
        </w:tc>
        <w:tc>
          <w:tcPr>
            <w:tcW w:w="1914" w:type="dxa"/>
          </w:tcPr>
          <w:p w14:paraId="0DDA827F"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4,320,000</w:t>
            </w:r>
          </w:p>
        </w:tc>
        <w:tc>
          <w:tcPr>
            <w:tcW w:w="3175" w:type="dxa"/>
          </w:tcPr>
          <w:p w14:paraId="12CCF6E4"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15,120,000</w:t>
            </w:r>
          </w:p>
        </w:tc>
      </w:tr>
      <w:tr w:rsidR="006A0D71" w14:paraId="65FB14C3" w14:textId="77777777" w:rsidTr="00C90179">
        <w:trPr>
          <w:jc w:val="center"/>
        </w:trPr>
        <w:tc>
          <w:tcPr>
            <w:tcW w:w="1116" w:type="dxa"/>
          </w:tcPr>
          <w:p w14:paraId="0DE6564A" w14:textId="77777777" w:rsidR="006A0D71" w:rsidRPr="00B36F2D" w:rsidRDefault="006A0D71" w:rsidP="00C90179">
            <w:pPr>
              <w:jc w:val="center"/>
              <w:rPr>
                <w:rFonts w:ascii="Palatino Linotype" w:hAnsi="Palatino Linotype"/>
                <w:b/>
                <w:bCs/>
                <w:sz w:val="24"/>
                <w:szCs w:val="24"/>
              </w:rPr>
            </w:pPr>
            <w:r w:rsidRPr="00B36F2D">
              <w:rPr>
                <w:rFonts w:ascii="Palatino Linotype" w:hAnsi="Palatino Linotype"/>
                <w:b/>
                <w:bCs/>
                <w:sz w:val="24"/>
                <w:szCs w:val="24"/>
              </w:rPr>
              <w:t>2025</w:t>
            </w:r>
          </w:p>
        </w:tc>
        <w:tc>
          <w:tcPr>
            <w:tcW w:w="1914" w:type="dxa"/>
          </w:tcPr>
          <w:p w14:paraId="5889031D"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4,320,000</w:t>
            </w:r>
          </w:p>
        </w:tc>
        <w:tc>
          <w:tcPr>
            <w:tcW w:w="3175" w:type="dxa"/>
          </w:tcPr>
          <w:p w14:paraId="1B494C26"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15,120,000</w:t>
            </w:r>
          </w:p>
        </w:tc>
      </w:tr>
      <w:tr w:rsidR="006A0D71" w14:paraId="2821EE4A" w14:textId="77777777" w:rsidTr="00C90179">
        <w:trPr>
          <w:jc w:val="center"/>
        </w:trPr>
        <w:tc>
          <w:tcPr>
            <w:tcW w:w="1116" w:type="dxa"/>
          </w:tcPr>
          <w:p w14:paraId="6C585733" w14:textId="77777777" w:rsidR="006A0D71" w:rsidRPr="00B36F2D" w:rsidRDefault="006A0D71" w:rsidP="00C90179">
            <w:pPr>
              <w:jc w:val="center"/>
              <w:rPr>
                <w:rFonts w:ascii="Palatino Linotype" w:hAnsi="Palatino Linotype"/>
                <w:b/>
                <w:bCs/>
                <w:sz w:val="24"/>
                <w:szCs w:val="24"/>
              </w:rPr>
            </w:pPr>
            <w:r w:rsidRPr="00B36F2D">
              <w:rPr>
                <w:rFonts w:ascii="Palatino Linotype" w:hAnsi="Palatino Linotype"/>
                <w:b/>
                <w:bCs/>
                <w:sz w:val="24"/>
                <w:szCs w:val="24"/>
              </w:rPr>
              <w:t>2026</w:t>
            </w:r>
          </w:p>
        </w:tc>
        <w:tc>
          <w:tcPr>
            <w:tcW w:w="1914" w:type="dxa"/>
          </w:tcPr>
          <w:p w14:paraId="141641FB"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4,320,000</w:t>
            </w:r>
          </w:p>
        </w:tc>
        <w:tc>
          <w:tcPr>
            <w:tcW w:w="3175" w:type="dxa"/>
          </w:tcPr>
          <w:p w14:paraId="34EDF6CD"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15,120,000</w:t>
            </w:r>
          </w:p>
        </w:tc>
      </w:tr>
      <w:tr w:rsidR="006A0D71" w14:paraId="0AC2F90D" w14:textId="77777777" w:rsidTr="00C90179">
        <w:trPr>
          <w:jc w:val="center"/>
        </w:trPr>
        <w:tc>
          <w:tcPr>
            <w:tcW w:w="1116" w:type="dxa"/>
          </w:tcPr>
          <w:p w14:paraId="38BF623A" w14:textId="77777777" w:rsidR="006A0D71" w:rsidRPr="00B36F2D" w:rsidRDefault="006A0D71" w:rsidP="00C90179">
            <w:pPr>
              <w:jc w:val="center"/>
              <w:rPr>
                <w:rFonts w:ascii="Palatino Linotype" w:hAnsi="Palatino Linotype"/>
                <w:b/>
                <w:bCs/>
                <w:sz w:val="24"/>
                <w:szCs w:val="24"/>
              </w:rPr>
            </w:pPr>
            <w:r w:rsidRPr="00B36F2D">
              <w:rPr>
                <w:rFonts w:ascii="Palatino Linotype" w:hAnsi="Palatino Linotype"/>
                <w:b/>
                <w:bCs/>
                <w:sz w:val="24"/>
                <w:szCs w:val="24"/>
              </w:rPr>
              <w:t>2027</w:t>
            </w:r>
          </w:p>
        </w:tc>
        <w:tc>
          <w:tcPr>
            <w:tcW w:w="1914" w:type="dxa"/>
          </w:tcPr>
          <w:p w14:paraId="212820A4"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4,320,000</w:t>
            </w:r>
          </w:p>
        </w:tc>
        <w:tc>
          <w:tcPr>
            <w:tcW w:w="3175" w:type="dxa"/>
          </w:tcPr>
          <w:p w14:paraId="1B78F7B1"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15,120,000</w:t>
            </w:r>
          </w:p>
        </w:tc>
      </w:tr>
      <w:tr w:rsidR="006A0D71" w14:paraId="782FE9EF" w14:textId="77777777" w:rsidTr="00C90179">
        <w:trPr>
          <w:jc w:val="center"/>
        </w:trPr>
        <w:tc>
          <w:tcPr>
            <w:tcW w:w="1116" w:type="dxa"/>
          </w:tcPr>
          <w:p w14:paraId="74D92097" w14:textId="77777777" w:rsidR="006A0D71" w:rsidRPr="00B36F2D" w:rsidRDefault="006A0D71" w:rsidP="00C90179">
            <w:pPr>
              <w:rPr>
                <w:rFonts w:ascii="Palatino Linotype" w:hAnsi="Palatino Linotype"/>
                <w:b/>
                <w:bCs/>
                <w:sz w:val="24"/>
                <w:szCs w:val="24"/>
              </w:rPr>
            </w:pPr>
            <w:r w:rsidRPr="00B36F2D">
              <w:rPr>
                <w:rFonts w:ascii="Palatino Linotype" w:hAnsi="Palatino Linotype"/>
                <w:b/>
                <w:bCs/>
                <w:sz w:val="24"/>
                <w:szCs w:val="24"/>
              </w:rPr>
              <w:t>TOTAL</w:t>
            </w:r>
          </w:p>
        </w:tc>
        <w:tc>
          <w:tcPr>
            <w:tcW w:w="1914" w:type="dxa"/>
          </w:tcPr>
          <w:p w14:paraId="48C43BE3"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24,000,000</w:t>
            </w:r>
          </w:p>
        </w:tc>
        <w:tc>
          <w:tcPr>
            <w:tcW w:w="3175" w:type="dxa"/>
          </w:tcPr>
          <w:p w14:paraId="2B3A5732" w14:textId="77777777" w:rsidR="006A0D71" w:rsidRDefault="006A0D71" w:rsidP="00C90179">
            <w:pPr>
              <w:jc w:val="center"/>
              <w:rPr>
                <w:rFonts w:ascii="Palatino Linotype" w:hAnsi="Palatino Linotype"/>
                <w:sz w:val="24"/>
                <w:szCs w:val="24"/>
              </w:rPr>
            </w:pPr>
            <w:r>
              <w:rPr>
                <w:rFonts w:ascii="Palatino Linotype" w:hAnsi="Palatino Linotype"/>
                <w:sz w:val="24"/>
                <w:szCs w:val="24"/>
              </w:rPr>
              <w:t>84,000,000</w:t>
            </w:r>
          </w:p>
        </w:tc>
      </w:tr>
    </w:tbl>
    <w:p w14:paraId="612E6EAF" w14:textId="77777777" w:rsidR="006A0D71" w:rsidRPr="00851D91" w:rsidRDefault="006A0D71" w:rsidP="006A0D71">
      <w:pPr>
        <w:rPr>
          <w:rFonts w:ascii="Palatino Linotype" w:hAnsi="Palatino Linotype"/>
          <w:sz w:val="24"/>
          <w:szCs w:val="24"/>
        </w:rPr>
      </w:pPr>
    </w:p>
    <w:p w14:paraId="4D5908F7" w14:textId="77777777" w:rsidR="006A0D71" w:rsidRPr="00851D91" w:rsidRDefault="006A0D71" w:rsidP="006A0D71">
      <w:pPr>
        <w:rPr>
          <w:rFonts w:ascii="Palatino Linotype" w:hAnsi="Palatino Linotype"/>
          <w:b/>
          <w:bCs/>
          <w:sz w:val="24"/>
          <w:szCs w:val="24"/>
          <w:u w:val="single"/>
        </w:rPr>
      </w:pPr>
      <w:r w:rsidRPr="00851D91">
        <w:rPr>
          <w:rFonts w:ascii="Palatino Linotype" w:hAnsi="Palatino Linotype"/>
          <w:b/>
          <w:bCs/>
          <w:sz w:val="24"/>
          <w:szCs w:val="24"/>
          <w:u w:val="single"/>
        </w:rPr>
        <w:t>Approaches</w:t>
      </w:r>
      <w:r>
        <w:rPr>
          <w:rFonts w:ascii="Palatino Linotype" w:hAnsi="Palatino Linotype"/>
          <w:b/>
          <w:bCs/>
          <w:sz w:val="24"/>
          <w:szCs w:val="24"/>
          <w:u w:val="single"/>
        </w:rPr>
        <w:t xml:space="preserve"> - </w:t>
      </w:r>
      <w:r w:rsidRPr="00851D91">
        <w:rPr>
          <w:rFonts w:ascii="Palatino Linotype" w:hAnsi="Palatino Linotype"/>
          <w:b/>
          <w:bCs/>
          <w:sz w:val="24"/>
          <w:szCs w:val="24"/>
          <w:u w:val="single"/>
        </w:rPr>
        <w:t>Manual</w:t>
      </w:r>
      <w:r>
        <w:rPr>
          <w:rFonts w:ascii="Palatino Linotype" w:hAnsi="Palatino Linotype"/>
          <w:b/>
          <w:bCs/>
          <w:sz w:val="24"/>
          <w:szCs w:val="24"/>
          <w:u w:val="single"/>
        </w:rPr>
        <w:t xml:space="preserve"> and Automated</w:t>
      </w:r>
    </w:p>
    <w:p w14:paraId="6BB9B9F4" w14:textId="77777777" w:rsidR="006A0D71" w:rsidRPr="00851D91" w:rsidRDefault="006A0D71" w:rsidP="006A0D71">
      <w:pPr>
        <w:ind w:firstLine="720"/>
        <w:rPr>
          <w:rFonts w:ascii="Palatino Linotype" w:hAnsi="Palatino Linotype"/>
          <w:sz w:val="24"/>
          <w:szCs w:val="24"/>
          <w:shd w:val="clear" w:color="auto" w:fill="FFFFFF"/>
        </w:rPr>
      </w:pPr>
      <w:r w:rsidRPr="00851D91">
        <w:rPr>
          <w:rFonts w:ascii="Palatino Linotype" w:hAnsi="Palatino Linotype"/>
          <w:sz w:val="24"/>
          <w:szCs w:val="24"/>
        </w:rPr>
        <w:t xml:space="preserve">While most of the 24 million records are in typed </w:t>
      </w:r>
      <w:r>
        <w:rPr>
          <w:rFonts w:ascii="Palatino Linotype" w:hAnsi="Palatino Linotype"/>
          <w:sz w:val="24"/>
          <w:szCs w:val="24"/>
        </w:rPr>
        <w:t xml:space="preserve">and digital (different from digitized) </w:t>
      </w:r>
      <w:r w:rsidRPr="00851D91">
        <w:rPr>
          <w:rFonts w:ascii="Palatino Linotype" w:hAnsi="Palatino Linotype"/>
          <w:sz w:val="24"/>
          <w:szCs w:val="24"/>
        </w:rPr>
        <w:t xml:space="preserve">format, there are a significant number of the records that are handwritten </w:t>
      </w:r>
      <w:r>
        <w:rPr>
          <w:rFonts w:ascii="Palatino Linotype" w:hAnsi="Palatino Linotype"/>
          <w:sz w:val="24"/>
          <w:szCs w:val="24"/>
        </w:rPr>
        <w:t xml:space="preserve">and in books. They </w:t>
      </w:r>
      <w:r w:rsidRPr="00851D91">
        <w:rPr>
          <w:rFonts w:ascii="Palatino Linotype" w:hAnsi="Palatino Linotype"/>
          <w:sz w:val="24"/>
          <w:szCs w:val="24"/>
        </w:rPr>
        <w:t xml:space="preserve">will require </w:t>
      </w:r>
      <w:r>
        <w:rPr>
          <w:rFonts w:ascii="Palatino Linotype" w:hAnsi="Palatino Linotype"/>
          <w:sz w:val="24"/>
          <w:szCs w:val="24"/>
        </w:rPr>
        <w:t>more labor-intensive</w:t>
      </w:r>
      <w:r w:rsidRPr="00851D91">
        <w:rPr>
          <w:rFonts w:ascii="Palatino Linotype" w:hAnsi="Palatino Linotype"/>
          <w:sz w:val="24"/>
          <w:szCs w:val="24"/>
        </w:rPr>
        <w:t xml:space="preserve"> review</w:t>
      </w:r>
      <w:r>
        <w:rPr>
          <w:rFonts w:ascii="Palatino Linotype" w:hAnsi="Palatino Linotype"/>
          <w:sz w:val="24"/>
          <w:szCs w:val="24"/>
        </w:rPr>
        <w:t xml:space="preserve"> and process</w:t>
      </w:r>
      <w:r w:rsidRPr="00851D91">
        <w:rPr>
          <w:rFonts w:ascii="Palatino Linotype" w:hAnsi="Palatino Linotype"/>
          <w:sz w:val="24"/>
          <w:szCs w:val="24"/>
        </w:rPr>
        <w:t xml:space="preserve">.  </w:t>
      </w:r>
      <w:r>
        <w:rPr>
          <w:rFonts w:ascii="Palatino Linotype" w:hAnsi="Palatino Linotype"/>
          <w:sz w:val="24"/>
          <w:szCs w:val="24"/>
        </w:rPr>
        <w:t xml:space="preserve">The </w:t>
      </w:r>
      <w:r w:rsidRPr="00851D91">
        <w:rPr>
          <w:rFonts w:ascii="Palatino Linotype" w:hAnsi="Palatino Linotype"/>
          <w:sz w:val="24"/>
          <w:szCs w:val="24"/>
        </w:rPr>
        <w:t>office, plan to review the</w:t>
      </w:r>
      <w:r>
        <w:rPr>
          <w:rFonts w:ascii="Palatino Linotype" w:hAnsi="Palatino Linotype"/>
          <w:sz w:val="24"/>
          <w:szCs w:val="24"/>
        </w:rPr>
        <w:t>se</w:t>
      </w:r>
      <w:r w:rsidRPr="00851D91">
        <w:rPr>
          <w:rFonts w:ascii="Palatino Linotype" w:hAnsi="Palatino Linotype"/>
          <w:sz w:val="24"/>
          <w:szCs w:val="24"/>
        </w:rPr>
        <w:t xml:space="preserve"> records using technology capable of </w:t>
      </w:r>
      <w:r w:rsidRPr="00851D91">
        <w:rPr>
          <w:rFonts w:ascii="Palatino Linotype" w:hAnsi="Palatino Linotype"/>
          <w:sz w:val="24"/>
          <w:szCs w:val="24"/>
          <w:shd w:val="clear" w:color="auto" w:fill="FFFFFF"/>
        </w:rPr>
        <w:t>Optical Character Recognition (OCR); however, in order to utilize OCR, we must first have all of our images digitized.  While the use of technology will significantly assist our efforts, we will not wait for the images to be digitized before proactively initiating our review of the records.</w:t>
      </w:r>
      <w:r>
        <w:rPr>
          <w:rFonts w:ascii="Palatino Linotype" w:hAnsi="Palatino Linotype"/>
          <w:sz w:val="24"/>
          <w:szCs w:val="24"/>
          <w:shd w:val="clear" w:color="auto" w:fill="FFFFFF"/>
        </w:rPr>
        <w:t xml:space="preserve">  </w:t>
      </w:r>
      <w:r w:rsidRPr="00851D91">
        <w:rPr>
          <w:rFonts w:ascii="Palatino Linotype" w:hAnsi="Palatino Linotype"/>
          <w:sz w:val="24"/>
          <w:szCs w:val="24"/>
          <w:shd w:val="clear" w:color="auto" w:fill="FFFFFF"/>
        </w:rPr>
        <w:t xml:space="preserve">Initially, our office has a </w:t>
      </w:r>
      <w:r>
        <w:rPr>
          <w:rFonts w:ascii="Palatino Linotype" w:hAnsi="Palatino Linotype"/>
          <w:sz w:val="24"/>
          <w:szCs w:val="24"/>
          <w:shd w:val="clear" w:color="auto" w:fill="FFFFFF"/>
        </w:rPr>
        <w:t>manual process</w:t>
      </w:r>
      <w:r w:rsidRPr="00851D91">
        <w:rPr>
          <w:rFonts w:ascii="Palatino Linotype" w:hAnsi="Palatino Linotype"/>
          <w:sz w:val="24"/>
          <w:szCs w:val="24"/>
          <w:shd w:val="clear" w:color="auto" w:fill="FFFFFF"/>
        </w:rPr>
        <w:t xml:space="preserve"> in place to locate </w:t>
      </w:r>
      <w:r>
        <w:rPr>
          <w:rFonts w:ascii="Palatino Linotype" w:hAnsi="Palatino Linotype"/>
          <w:sz w:val="24"/>
          <w:szCs w:val="24"/>
          <w:shd w:val="clear" w:color="auto" w:fill="FFFFFF"/>
        </w:rPr>
        <w:t xml:space="preserve">and review </w:t>
      </w:r>
      <w:r w:rsidRPr="00851D91">
        <w:rPr>
          <w:rFonts w:ascii="Palatino Linotype" w:hAnsi="Palatino Linotype"/>
          <w:sz w:val="24"/>
          <w:szCs w:val="24"/>
          <w:shd w:val="clear" w:color="auto" w:fill="FFFFFF"/>
        </w:rPr>
        <w:t xml:space="preserve">the documents with </w:t>
      </w:r>
      <w:r>
        <w:rPr>
          <w:rFonts w:ascii="Palatino Linotype" w:hAnsi="Palatino Linotype"/>
          <w:sz w:val="24"/>
          <w:szCs w:val="24"/>
          <w:shd w:val="clear" w:color="auto" w:fill="FFFFFF"/>
        </w:rPr>
        <w:t xml:space="preserve">the </w:t>
      </w:r>
      <w:r w:rsidRPr="00851D91">
        <w:rPr>
          <w:rFonts w:ascii="Palatino Linotype" w:hAnsi="Palatino Linotype"/>
          <w:sz w:val="24"/>
          <w:szCs w:val="24"/>
          <w:shd w:val="clear" w:color="auto" w:fill="FFFFFF"/>
        </w:rPr>
        <w:t xml:space="preserve">unlawful language. </w:t>
      </w:r>
      <w:r>
        <w:rPr>
          <w:rFonts w:ascii="Palatino Linotype" w:hAnsi="Palatino Linotype"/>
          <w:sz w:val="24"/>
          <w:szCs w:val="24"/>
          <w:shd w:val="clear" w:color="auto" w:fill="FFFFFF"/>
        </w:rPr>
        <w:t>This process will be later refined through the use of technology. At a much later stage, the enhanced use of both the manual and automated processes will be utilized to achieve the optimum level</w:t>
      </w:r>
      <w:r w:rsidRPr="00851D91">
        <w:rPr>
          <w:rFonts w:ascii="Palatino Linotype" w:hAnsi="Palatino Linotype"/>
          <w:sz w:val="24"/>
          <w:szCs w:val="24"/>
          <w:shd w:val="clear" w:color="auto" w:fill="FFFFFF"/>
        </w:rPr>
        <w:t xml:space="preserve"> </w:t>
      </w:r>
      <w:r>
        <w:rPr>
          <w:rFonts w:ascii="Palatino Linotype" w:hAnsi="Palatino Linotype"/>
          <w:sz w:val="24"/>
          <w:szCs w:val="24"/>
          <w:shd w:val="clear" w:color="auto" w:fill="FFFFFF"/>
        </w:rPr>
        <w:t>of implementing this program.</w:t>
      </w:r>
    </w:p>
    <w:p w14:paraId="4F1FB7C1" w14:textId="77777777" w:rsidR="006A0D71" w:rsidRPr="00851D91" w:rsidRDefault="006A0D71" w:rsidP="006A0D71">
      <w:pPr>
        <w:rPr>
          <w:rFonts w:ascii="Palatino Linotype" w:hAnsi="Palatino Linotype"/>
          <w:b/>
          <w:bCs/>
          <w:sz w:val="24"/>
          <w:szCs w:val="24"/>
          <w:u w:val="single"/>
          <w:shd w:val="clear" w:color="auto" w:fill="FFFFFF"/>
        </w:rPr>
      </w:pPr>
      <w:r w:rsidRPr="00851D91">
        <w:rPr>
          <w:rFonts w:ascii="Palatino Linotype" w:hAnsi="Palatino Linotype"/>
          <w:b/>
          <w:bCs/>
          <w:sz w:val="24"/>
          <w:szCs w:val="24"/>
          <w:u w:val="single"/>
          <w:shd w:val="clear" w:color="auto" w:fill="FFFFFF"/>
        </w:rPr>
        <w:t>Process</w:t>
      </w:r>
    </w:p>
    <w:p w14:paraId="0ED95988" w14:textId="77777777" w:rsidR="006A0D71" w:rsidRPr="00851D91" w:rsidRDefault="006A0D71" w:rsidP="006A0D71">
      <w:pPr>
        <w:ind w:firstLine="720"/>
        <w:rPr>
          <w:rFonts w:ascii="Palatino Linotype" w:hAnsi="Palatino Linotype"/>
          <w:sz w:val="24"/>
          <w:szCs w:val="24"/>
          <w:shd w:val="clear" w:color="auto" w:fill="FFFFFF"/>
        </w:rPr>
      </w:pPr>
      <w:r w:rsidRPr="00851D91">
        <w:rPr>
          <w:rFonts w:ascii="Palatino Linotype" w:hAnsi="Palatino Linotype"/>
          <w:sz w:val="24"/>
          <w:szCs w:val="24"/>
          <w:shd w:val="clear" w:color="auto" w:fill="FFFFFF"/>
        </w:rPr>
        <w:t>We have established a Restrictive Covenant Modification Program (RECOMP) Division in our office  that will be responsible for the (1) location of the documents with potential unlawful language, (2) initiate the process for redaction, (3) review of the actual document to identify the unlawful language, (4) prepare the document for redaction, (5) present to County Counsel for review and approval of redaction, and, finally, (6) the recordation of the redacted restrictive covenant modification document.</w:t>
      </w:r>
    </w:p>
    <w:p w14:paraId="434C77E5" w14:textId="77777777" w:rsidR="006A0D71" w:rsidRDefault="006A0D71" w:rsidP="006A0D71">
      <w:pPr>
        <w:rPr>
          <w:rFonts w:ascii="Palatino Linotype" w:hAnsi="Palatino Linotype"/>
          <w:sz w:val="24"/>
          <w:szCs w:val="24"/>
          <w:shd w:val="clear" w:color="auto" w:fill="FFFFFF"/>
        </w:rPr>
      </w:pPr>
      <w:r w:rsidRPr="00851D91">
        <w:rPr>
          <w:rFonts w:ascii="Palatino Linotype" w:hAnsi="Palatino Linotype"/>
          <w:sz w:val="24"/>
          <w:szCs w:val="24"/>
          <w:shd w:val="clear" w:color="auto" w:fill="FFFFFF"/>
        </w:rPr>
        <w:lastRenderedPageBreak/>
        <w:tab/>
        <w:t xml:space="preserve">While we believe that our RECOMP Division will </w:t>
      </w:r>
      <w:r>
        <w:rPr>
          <w:rFonts w:ascii="Palatino Linotype" w:hAnsi="Palatino Linotype"/>
          <w:sz w:val="24"/>
          <w:szCs w:val="24"/>
          <w:shd w:val="clear" w:color="auto" w:fill="FFFFFF"/>
        </w:rPr>
        <w:t>move the process forward</w:t>
      </w:r>
      <w:r w:rsidRPr="00851D91">
        <w:rPr>
          <w:rFonts w:ascii="Palatino Linotype" w:hAnsi="Palatino Linotype"/>
          <w:sz w:val="24"/>
          <w:szCs w:val="24"/>
          <w:shd w:val="clear" w:color="auto" w:fill="FFFFFF"/>
        </w:rPr>
        <w:t xml:space="preserve"> in the unlawful language redaction effort prior to and during the time it takes to digitize and OCR our records, we have been offered assistance from volunteers and student interns to assist us in our review.  In addition to the RECOMP Division’s responsibilities above, they will coordinate the work of the volunteers and student interns.</w:t>
      </w:r>
    </w:p>
    <w:p w14:paraId="67A05C96" w14:textId="77777777" w:rsidR="006A0D71" w:rsidRPr="00851D91" w:rsidRDefault="006A0D71" w:rsidP="006A0D71">
      <w:pPr>
        <w:ind w:firstLine="720"/>
        <w:rPr>
          <w:rFonts w:ascii="Palatino Linotype" w:hAnsi="Palatino Linotype"/>
          <w:sz w:val="24"/>
          <w:szCs w:val="24"/>
          <w:shd w:val="clear" w:color="auto" w:fill="FFFFFF"/>
        </w:rPr>
      </w:pPr>
      <w:r>
        <w:rPr>
          <w:rFonts w:ascii="Palatino Linotype" w:hAnsi="Palatino Linotype"/>
          <w:sz w:val="24"/>
          <w:szCs w:val="24"/>
          <w:shd w:val="clear" w:color="auto" w:fill="FFFFFF"/>
        </w:rPr>
        <w:t xml:space="preserve">In summary, </w:t>
      </w:r>
      <w:r w:rsidRPr="00851D91">
        <w:rPr>
          <w:rFonts w:ascii="Palatino Linotype" w:hAnsi="Palatino Linotype"/>
          <w:sz w:val="24"/>
          <w:szCs w:val="24"/>
          <w:shd w:val="clear" w:color="auto" w:fill="FFFFFF"/>
        </w:rPr>
        <w:t>our approach</w:t>
      </w:r>
      <w:r>
        <w:rPr>
          <w:rFonts w:ascii="Palatino Linotype" w:hAnsi="Palatino Linotype"/>
          <w:sz w:val="24"/>
          <w:szCs w:val="24"/>
          <w:shd w:val="clear" w:color="auto" w:fill="FFFFFF"/>
        </w:rPr>
        <w:t xml:space="preserve"> to the process</w:t>
      </w:r>
      <w:r w:rsidRPr="00851D91">
        <w:rPr>
          <w:rFonts w:ascii="Palatino Linotype" w:hAnsi="Palatino Linotype"/>
          <w:sz w:val="24"/>
          <w:szCs w:val="24"/>
          <w:shd w:val="clear" w:color="auto" w:fill="FFFFFF"/>
        </w:rPr>
        <w:t xml:space="preserve"> is as follows:</w:t>
      </w:r>
    </w:p>
    <w:p w14:paraId="0E0CE2E0" w14:textId="77777777" w:rsidR="006A0D71" w:rsidRPr="00851D91" w:rsidRDefault="006A0D71" w:rsidP="006A0D71">
      <w:pPr>
        <w:rPr>
          <w:rFonts w:ascii="Palatino Linotype" w:hAnsi="Palatino Linotype"/>
          <w:sz w:val="24"/>
          <w:szCs w:val="24"/>
          <w:shd w:val="clear" w:color="auto" w:fill="FFFFFF"/>
        </w:rPr>
      </w:pPr>
      <w:r w:rsidRPr="00C54216">
        <w:rPr>
          <w:rFonts w:ascii="Palatino Linotype" w:hAnsi="Palatino Linotype"/>
          <w:b/>
          <w:bCs/>
          <w:i/>
          <w:iCs/>
          <w:sz w:val="24"/>
          <w:szCs w:val="24"/>
          <w:u w:val="single"/>
          <w:shd w:val="clear" w:color="auto" w:fill="FFFFFF"/>
        </w:rPr>
        <w:t>Step 1</w:t>
      </w:r>
      <w:r w:rsidRPr="00851D91">
        <w:rPr>
          <w:rFonts w:ascii="Palatino Linotype" w:hAnsi="Palatino Linotype"/>
          <w:sz w:val="24"/>
          <w:szCs w:val="24"/>
          <w:u w:val="single"/>
          <w:shd w:val="clear" w:color="auto" w:fill="FFFFFF"/>
        </w:rPr>
        <w:t>:</w:t>
      </w:r>
      <w:r>
        <w:rPr>
          <w:rFonts w:ascii="Palatino Linotype" w:hAnsi="Palatino Linotype"/>
          <w:sz w:val="24"/>
          <w:szCs w:val="24"/>
          <w:u w:val="single"/>
          <w:shd w:val="clear" w:color="auto" w:fill="FFFFFF"/>
        </w:rPr>
        <w:t xml:space="preserve"> </w:t>
      </w:r>
      <w:r>
        <w:rPr>
          <w:rFonts w:ascii="Palatino Linotype" w:hAnsi="Palatino Linotype"/>
          <w:sz w:val="24"/>
          <w:szCs w:val="24"/>
          <w:shd w:val="clear" w:color="auto" w:fill="FFFFFF"/>
        </w:rPr>
        <w:t>Locating the d</w:t>
      </w:r>
      <w:r w:rsidRPr="00851D91">
        <w:rPr>
          <w:rFonts w:ascii="Palatino Linotype" w:hAnsi="Palatino Linotype"/>
          <w:sz w:val="24"/>
          <w:szCs w:val="24"/>
          <w:shd w:val="clear" w:color="auto" w:fill="FFFFFF"/>
        </w:rPr>
        <w:t>ocument with unlawful language – this step may be initiated through the efforts of the RECOMP Division, volunteers/interns, the public, and/or technology.</w:t>
      </w:r>
    </w:p>
    <w:p w14:paraId="1F6872EF" w14:textId="77777777" w:rsidR="006A0D71" w:rsidRPr="00851D91" w:rsidRDefault="006A0D71" w:rsidP="006A0D71">
      <w:pPr>
        <w:rPr>
          <w:rFonts w:ascii="Palatino Linotype" w:hAnsi="Palatino Linotype"/>
          <w:sz w:val="24"/>
          <w:szCs w:val="24"/>
          <w:shd w:val="clear" w:color="auto" w:fill="FFFFFF"/>
        </w:rPr>
      </w:pPr>
      <w:r w:rsidRPr="00C54216">
        <w:rPr>
          <w:rFonts w:ascii="Palatino Linotype" w:hAnsi="Palatino Linotype"/>
          <w:b/>
          <w:bCs/>
          <w:i/>
          <w:iCs/>
          <w:sz w:val="24"/>
          <w:szCs w:val="24"/>
          <w:u w:val="single"/>
          <w:shd w:val="clear" w:color="auto" w:fill="FFFFFF"/>
        </w:rPr>
        <w:t>Step 2</w:t>
      </w:r>
      <w:r w:rsidRPr="00851D91">
        <w:rPr>
          <w:rFonts w:ascii="Palatino Linotype" w:hAnsi="Palatino Linotype"/>
          <w:sz w:val="24"/>
          <w:szCs w:val="24"/>
          <w:u w:val="single"/>
          <w:shd w:val="clear" w:color="auto" w:fill="FFFFFF"/>
        </w:rPr>
        <w:t>:</w:t>
      </w:r>
      <w:r>
        <w:rPr>
          <w:rFonts w:ascii="Palatino Linotype" w:hAnsi="Palatino Linotype"/>
          <w:sz w:val="24"/>
          <w:szCs w:val="24"/>
          <w:u w:val="single"/>
          <w:shd w:val="clear" w:color="auto" w:fill="FFFFFF"/>
        </w:rPr>
        <w:t xml:space="preserve"> </w:t>
      </w:r>
      <w:r w:rsidRPr="00851D91">
        <w:rPr>
          <w:rFonts w:ascii="Palatino Linotype" w:hAnsi="Palatino Linotype"/>
          <w:sz w:val="24"/>
          <w:szCs w:val="24"/>
          <w:shd w:val="clear" w:color="auto" w:fill="FFFFFF"/>
        </w:rPr>
        <w:t xml:space="preserve">Preparation of Redacted Restrictive Covenant Modification Document including </w:t>
      </w:r>
      <w:r>
        <w:rPr>
          <w:rFonts w:ascii="Palatino Linotype" w:hAnsi="Palatino Linotype"/>
          <w:sz w:val="24"/>
          <w:szCs w:val="24"/>
          <w:shd w:val="clear" w:color="auto" w:fill="FFFFFF"/>
        </w:rPr>
        <w:t xml:space="preserve"> </w:t>
      </w:r>
      <w:r w:rsidRPr="00851D91">
        <w:rPr>
          <w:rFonts w:ascii="Palatino Linotype" w:hAnsi="Palatino Linotype"/>
          <w:sz w:val="24"/>
          <w:szCs w:val="24"/>
          <w:shd w:val="clear" w:color="auto" w:fill="FFFFFF"/>
        </w:rPr>
        <w:t xml:space="preserve">coversheet – this step may be performed by the RECOMP Division or </w:t>
      </w:r>
      <w:r>
        <w:rPr>
          <w:rFonts w:ascii="Palatino Linotype" w:hAnsi="Palatino Linotype"/>
          <w:sz w:val="24"/>
          <w:szCs w:val="24"/>
          <w:shd w:val="clear" w:color="auto" w:fill="FFFFFF"/>
        </w:rPr>
        <w:t xml:space="preserve">a member of the </w:t>
      </w:r>
      <w:r w:rsidRPr="00851D91">
        <w:rPr>
          <w:rFonts w:ascii="Palatino Linotype" w:hAnsi="Palatino Linotype"/>
          <w:sz w:val="24"/>
          <w:szCs w:val="24"/>
          <w:shd w:val="clear" w:color="auto" w:fill="FFFFFF"/>
        </w:rPr>
        <w:t>public that may include the newly redacted language as well as a copy of the original document containing the unlawful language.</w:t>
      </w:r>
    </w:p>
    <w:p w14:paraId="050E0036" w14:textId="77777777" w:rsidR="006A0D71" w:rsidRPr="00851D91" w:rsidRDefault="006A0D71" w:rsidP="006A0D71">
      <w:pPr>
        <w:rPr>
          <w:rFonts w:ascii="Palatino Linotype" w:hAnsi="Palatino Linotype"/>
          <w:sz w:val="24"/>
          <w:szCs w:val="24"/>
          <w:shd w:val="clear" w:color="auto" w:fill="FFFFFF"/>
        </w:rPr>
      </w:pPr>
      <w:r w:rsidRPr="00C54216">
        <w:rPr>
          <w:rFonts w:ascii="Palatino Linotype" w:hAnsi="Palatino Linotype"/>
          <w:b/>
          <w:bCs/>
          <w:i/>
          <w:iCs/>
          <w:sz w:val="24"/>
          <w:szCs w:val="24"/>
          <w:u w:val="single"/>
          <w:shd w:val="clear" w:color="auto" w:fill="FFFFFF"/>
        </w:rPr>
        <w:t>Step 3</w:t>
      </w:r>
      <w:r w:rsidRPr="00851D91">
        <w:rPr>
          <w:rFonts w:ascii="Palatino Linotype" w:hAnsi="Palatino Linotype"/>
          <w:sz w:val="24"/>
          <w:szCs w:val="24"/>
          <w:u w:val="single"/>
          <w:shd w:val="clear" w:color="auto" w:fill="FFFFFF"/>
        </w:rPr>
        <w:t>:</w:t>
      </w:r>
      <w:r>
        <w:rPr>
          <w:rFonts w:ascii="Palatino Linotype" w:hAnsi="Palatino Linotype"/>
          <w:sz w:val="24"/>
          <w:szCs w:val="24"/>
          <w:u w:val="single"/>
          <w:shd w:val="clear" w:color="auto" w:fill="FFFFFF"/>
        </w:rPr>
        <w:t xml:space="preserve"> </w:t>
      </w:r>
      <w:r w:rsidRPr="00851D91">
        <w:rPr>
          <w:rFonts w:ascii="Palatino Linotype" w:hAnsi="Palatino Linotype"/>
          <w:sz w:val="24"/>
          <w:szCs w:val="24"/>
          <w:shd w:val="clear" w:color="auto" w:fill="FFFFFF"/>
        </w:rPr>
        <w:t xml:space="preserve">Submission to County Counsel for </w:t>
      </w:r>
      <w:r>
        <w:rPr>
          <w:rFonts w:ascii="Palatino Linotype" w:hAnsi="Palatino Linotype"/>
          <w:sz w:val="24"/>
          <w:szCs w:val="24"/>
          <w:shd w:val="clear" w:color="auto" w:fill="FFFFFF"/>
        </w:rPr>
        <w:t>r</w:t>
      </w:r>
      <w:r w:rsidRPr="00851D91">
        <w:rPr>
          <w:rFonts w:ascii="Palatino Linotype" w:hAnsi="Palatino Linotype"/>
          <w:sz w:val="24"/>
          <w:szCs w:val="24"/>
          <w:shd w:val="clear" w:color="auto" w:fill="FFFFFF"/>
        </w:rPr>
        <w:t>eview/</w:t>
      </w:r>
      <w:r>
        <w:rPr>
          <w:rFonts w:ascii="Palatino Linotype" w:hAnsi="Palatino Linotype"/>
          <w:sz w:val="24"/>
          <w:szCs w:val="24"/>
          <w:shd w:val="clear" w:color="auto" w:fill="FFFFFF"/>
        </w:rPr>
        <w:t>a</w:t>
      </w:r>
      <w:r w:rsidRPr="00851D91">
        <w:rPr>
          <w:rFonts w:ascii="Palatino Linotype" w:hAnsi="Palatino Linotype"/>
          <w:sz w:val="24"/>
          <w:szCs w:val="24"/>
          <w:shd w:val="clear" w:color="auto" w:fill="FFFFFF"/>
        </w:rPr>
        <w:t>pproval – the Redacted Restrictive Covenant Modification Document and materials will be provided to County Counsel for review.  The review period is up to 90 days.</w:t>
      </w:r>
    </w:p>
    <w:p w14:paraId="052AD2BD" w14:textId="77777777" w:rsidR="006A0D71" w:rsidRPr="00851D91" w:rsidRDefault="006A0D71" w:rsidP="006A0D71">
      <w:pPr>
        <w:rPr>
          <w:rFonts w:ascii="Palatino Linotype" w:hAnsi="Palatino Linotype"/>
          <w:sz w:val="24"/>
          <w:szCs w:val="24"/>
          <w:shd w:val="clear" w:color="auto" w:fill="FFFFFF"/>
        </w:rPr>
      </w:pPr>
      <w:r w:rsidRPr="00C54216">
        <w:rPr>
          <w:rFonts w:ascii="Palatino Linotype" w:hAnsi="Palatino Linotype"/>
          <w:b/>
          <w:bCs/>
          <w:i/>
          <w:iCs/>
          <w:sz w:val="24"/>
          <w:szCs w:val="24"/>
          <w:u w:val="single"/>
          <w:shd w:val="clear" w:color="auto" w:fill="FFFFFF"/>
        </w:rPr>
        <w:t>Step 4</w:t>
      </w:r>
      <w:r w:rsidRPr="00851D91">
        <w:rPr>
          <w:rFonts w:ascii="Palatino Linotype" w:hAnsi="Palatino Linotype"/>
          <w:sz w:val="24"/>
          <w:szCs w:val="24"/>
          <w:u w:val="single"/>
          <w:shd w:val="clear" w:color="auto" w:fill="FFFFFF"/>
        </w:rPr>
        <w:t>:</w:t>
      </w:r>
      <w:r>
        <w:rPr>
          <w:rFonts w:ascii="Palatino Linotype" w:hAnsi="Palatino Linotype"/>
          <w:sz w:val="24"/>
          <w:szCs w:val="24"/>
          <w:u w:val="single"/>
          <w:shd w:val="clear" w:color="auto" w:fill="FFFFFF"/>
        </w:rPr>
        <w:t xml:space="preserve"> </w:t>
      </w:r>
      <w:r w:rsidRPr="00851D91">
        <w:rPr>
          <w:rFonts w:ascii="Palatino Linotype" w:hAnsi="Palatino Linotype"/>
          <w:sz w:val="24"/>
          <w:szCs w:val="24"/>
          <w:shd w:val="clear" w:color="auto" w:fill="FFFFFF"/>
        </w:rPr>
        <w:t xml:space="preserve">Upon County Counsel’s </w:t>
      </w:r>
      <w:r>
        <w:rPr>
          <w:rFonts w:ascii="Palatino Linotype" w:hAnsi="Palatino Linotype"/>
          <w:sz w:val="24"/>
          <w:szCs w:val="24"/>
          <w:shd w:val="clear" w:color="auto" w:fill="FFFFFF"/>
        </w:rPr>
        <w:t>a</w:t>
      </w:r>
      <w:r w:rsidRPr="00851D91">
        <w:rPr>
          <w:rFonts w:ascii="Palatino Linotype" w:hAnsi="Palatino Linotype"/>
          <w:sz w:val="24"/>
          <w:szCs w:val="24"/>
          <w:shd w:val="clear" w:color="auto" w:fill="FFFFFF"/>
        </w:rPr>
        <w:t>pproval, the RECOMP Division will record and index the Redacted Restrictive Covenant Modification.</w:t>
      </w:r>
    </w:p>
    <w:p w14:paraId="56E35C33" w14:textId="77777777" w:rsidR="006A0D71" w:rsidRPr="00851D91" w:rsidRDefault="006A0D71" w:rsidP="006A0D71">
      <w:pPr>
        <w:rPr>
          <w:rFonts w:ascii="Palatino Linotype" w:hAnsi="Palatino Linotype"/>
          <w:b/>
          <w:bCs/>
          <w:sz w:val="24"/>
          <w:szCs w:val="24"/>
          <w:u w:val="single"/>
          <w:shd w:val="clear" w:color="auto" w:fill="FFFFFF"/>
        </w:rPr>
      </w:pPr>
      <w:r w:rsidRPr="00851D91">
        <w:rPr>
          <w:rFonts w:ascii="Palatino Linotype" w:hAnsi="Palatino Linotype"/>
          <w:b/>
          <w:bCs/>
          <w:sz w:val="24"/>
          <w:szCs w:val="24"/>
          <w:u w:val="single"/>
          <w:shd w:val="clear" w:color="auto" w:fill="FFFFFF"/>
        </w:rPr>
        <w:t>Requests and Submissions from the Public</w:t>
      </w:r>
    </w:p>
    <w:p w14:paraId="6B54EB90" w14:textId="77777777" w:rsidR="006A0D71" w:rsidRPr="00851D91" w:rsidRDefault="006A0D71" w:rsidP="006A0D71">
      <w:pPr>
        <w:ind w:firstLine="720"/>
        <w:rPr>
          <w:rFonts w:ascii="Palatino Linotype" w:hAnsi="Palatino Linotype"/>
          <w:sz w:val="24"/>
          <w:szCs w:val="24"/>
          <w:shd w:val="clear" w:color="auto" w:fill="FFFFFF"/>
        </w:rPr>
      </w:pPr>
      <w:r w:rsidRPr="00851D91">
        <w:rPr>
          <w:rFonts w:ascii="Palatino Linotype" w:hAnsi="Palatino Linotype"/>
          <w:sz w:val="24"/>
          <w:szCs w:val="24"/>
          <w:shd w:val="clear" w:color="auto" w:fill="FFFFFF"/>
        </w:rPr>
        <w:t>While the utilization of technology, RECOMP Division, and volunteers/student interns will make significant strides towards accomplishing the goals of AB</w:t>
      </w:r>
      <w:r>
        <w:rPr>
          <w:rFonts w:ascii="Palatino Linotype" w:hAnsi="Palatino Linotype"/>
          <w:sz w:val="24"/>
          <w:szCs w:val="24"/>
          <w:shd w:val="clear" w:color="auto" w:fill="FFFFFF"/>
        </w:rPr>
        <w:t xml:space="preserve"> </w:t>
      </w:r>
      <w:r w:rsidRPr="00851D91">
        <w:rPr>
          <w:rFonts w:ascii="Palatino Linotype" w:hAnsi="Palatino Linotype"/>
          <w:sz w:val="24"/>
          <w:szCs w:val="24"/>
          <w:shd w:val="clear" w:color="auto" w:fill="FFFFFF"/>
        </w:rPr>
        <w:t>1466</w:t>
      </w:r>
      <w:r>
        <w:rPr>
          <w:rFonts w:ascii="Palatino Linotype" w:hAnsi="Palatino Linotype"/>
          <w:sz w:val="24"/>
          <w:szCs w:val="24"/>
          <w:shd w:val="clear" w:color="auto" w:fill="FFFFFF"/>
        </w:rPr>
        <w:t xml:space="preserve"> (2021)</w:t>
      </w:r>
      <w:r w:rsidRPr="00851D91">
        <w:rPr>
          <w:rFonts w:ascii="Palatino Linotype" w:hAnsi="Palatino Linotype"/>
          <w:sz w:val="24"/>
          <w:szCs w:val="24"/>
          <w:shd w:val="clear" w:color="auto" w:fill="FFFFFF"/>
        </w:rPr>
        <w:t>, we are also prepared to receive submission</w:t>
      </w:r>
      <w:r>
        <w:rPr>
          <w:rFonts w:ascii="Palatino Linotype" w:hAnsi="Palatino Linotype"/>
          <w:sz w:val="24"/>
          <w:szCs w:val="24"/>
          <w:shd w:val="clear" w:color="auto" w:fill="FFFFFF"/>
        </w:rPr>
        <w:t>s</w:t>
      </w:r>
      <w:r w:rsidRPr="00851D91">
        <w:rPr>
          <w:rFonts w:ascii="Palatino Linotype" w:hAnsi="Palatino Linotype"/>
          <w:sz w:val="24"/>
          <w:szCs w:val="24"/>
          <w:shd w:val="clear" w:color="auto" w:fill="FFFFFF"/>
        </w:rPr>
        <w:t xml:space="preserve"> of redacted restrictive covenants modifications from the public.  In cases where a member of the public notifies our office of a potential restrictive covenant containing unlawful language, we will provide the template coversheet to be attached to the front of the redacted restrictive covenant document.  We have also made the template coversheet on our website (or located below or hyperlinked here).</w:t>
      </w:r>
    </w:p>
    <w:p w14:paraId="33DDE7C1" w14:textId="77777777" w:rsidR="006A0D71" w:rsidRPr="00851D91" w:rsidRDefault="006A0D71" w:rsidP="006A0D71">
      <w:pPr>
        <w:rPr>
          <w:rFonts w:ascii="Palatino Linotype" w:hAnsi="Palatino Linotype"/>
          <w:sz w:val="24"/>
          <w:szCs w:val="24"/>
          <w:shd w:val="clear" w:color="auto" w:fill="FFFFFF"/>
        </w:rPr>
      </w:pPr>
      <w:r w:rsidRPr="00851D91">
        <w:rPr>
          <w:rFonts w:ascii="Palatino Linotype" w:hAnsi="Palatino Linotype"/>
          <w:sz w:val="24"/>
          <w:szCs w:val="24"/>
          <w:shd w:val="clear" w:color="auto" w:fill="FFFFFF"/>
        </w:rPr>
        <w:tab/>
        <w:t xml:space="preserve">Once the proposed Redacted Restrictive Covenant Modification has been prepared/packaged by the RECOMP team, it will be submitted to County Counsel for review and/or approval for redaction.  The review process may take up to 90 days.  Upon the CRO receiving County Counsel’s approval for the Redacted Restrictive Covenant Modification document, the RECOMP Division will record </w:t>
      </w:r>
      <w:r>
        <w:rPr>
          <w:rFonts w:ascii="Palatino Linotype" w:hAnsi="Palatino Linotype"/>
          <w:sz w:val="24"/>
          <w:szCs w:val="24"/>
          <w:shd w:val="clear" w:color="auto" w:fill="FFFFFF"/>
        </w:rPr>
        <w:t xml:space="preserve">and index </w:t>
      </w:r>
      <w:r w:rsidRPr="00851D91">
        <w:rPr>
          <w:rFonts w:ascii="Palatino Linotype" w:hAnsi="Palatino Linotype"/>
          <w:sz w:val="24"/>
          <w:szCs w:val="24"/>
          <w:shd w:val="clear" w:color="auto" w:fill="FFFFFF"/>
        </w:rPr>
        <w:t xml:space="preserve">the approved Redacted Restrictive Covenant Modification document.  </w:t>
      </w:r>
    </w:p>
    <w:p w14:paraId="63109514" w14:textId="77777777" w:rsidR="006A0D71" w:rsidRPr="00851D91" w:rsidRDefault="006A0D71" w:rsidP="006A0D71">
      <w:pPr>
        <w:rPr>
          <w:rFonts w:ascii="Palatino Linotype" w:hAnsi="Palatino Linotype"/>
          <w:b/>
          <w:bCs/>
          <w:sz w:val="24"/>
          <w:szCs w:val="24"/>
          <w:u w:val="single"/>
          <w:shd w:val="clear" w:color="auto" w:fill="FFFFFF"/>
        </w:rPr>
      </w:pPr>
      <w:r w:rsidRPr="00851D91">
        <w:rPr>
          <w:rFonts w:ascii="Palatino Linotype" w:hAnsi="Palatino Linotype"/>
          <w:b/>
          <w:bCs/>
          <w:sz w:val="24"/>
          <w:szCs w:val="24"/>
          <w:u w:val="single"/>
          <w:shd w:val="clear" w:color="auto" w:fill="FFFFFF"/>
        </w:rPr>
        <w:lastRenderedPageBreak/>
        <w:t>Tracking and Public Access</w:t>
      </w:r>
    </w:p>
    <w:p w14:paraId="0E34026D" w14:textId="3CD01CA9" w:rsidR="006A0D71" w:rsidRDefault="006A0D71" w:rsidP="006A0D71">
      <w:pPr>
        <w:ind w:firstLine="720"/>
        <w:rPr>
          <w:rFonts w:ascii="Palatino Linotype" w:hAnsi="Palatino Linotype"/>
          <w:sz w:val="24"/>
          <w:szCs w:val="24"/>
          <w:shd w:val="clear" w:color="auto" w:fill="FFFFFF"/>
        </w:rPr>
      </w:pPr>
      <w:r w:rsidRPr="00851D91">
        <w:rPr>
          <w:rFonts w:ascii="Palatino Linotype" w:hAnsi="Palatino Linotype"/>
          <w:sz w:val="24"/>
          <w:szCs w:val="24"/>
          <w:shd w:val="clear" w:color="auto" w:fill="FFFFFF"/>
        </w:rPr>
        <w:t xml:space="preserve">The newly recorded Redacted Restrictive Covenant Modification document will be tracked and available for review in our Official Records Index. </w:t>
      </w:r>
      <w:r>
        <w:rPr>
          <w:rFonts w:ascii="Palatino Linotype" w:hAnsi="Palatino Linotype"/>
          <w:sz w:val="24"/>
          <w:szCs w:val="24"/>
          <w:shd w:val="clear" w:color="auto" w:fill="FFFFFF"/>
        </w:rPr>
        <w:t xml:space="preserve">It is identified in the index as </w:t>
      </w:r>
      <w:r w:rsidR="00D05E29">
        <w:rPr>
          <w:rFonts w:ascii="Palatino Linotype" w:hAnsi="Palatino Linotype"/>
          <w:sz w:val="24"/>
          <w:szCs w:val="24"/>
          <w:shd w:val="clear" w:color="auto" w:fill="FFFFFF"/>
        </w:rPr>
        <w:t>RCMO</w:t>
      </w:r>
      <w:r>
        <w:rPr>
          <w:rFonts w:ascii="Palatino Linotype" w:hAnsi="Palatino Linotype"/>
          <w:sz w:val="24"/>
          <w:szCs w:val="24"/>
          <w:shd w:val="clear" w:color="auto" w:fill="FFFFFF"/>
        </w:rPr>
        <w:t xml:space="preserve">. </w:t>
      </w:r>
      <w:r w:rsidRPr="00851D91">
        <w:rPr>
          <w:rFonts w:ascii="Palatino Linotype" w:hAnsi="Palatino Linotype"/>
          <w:sz w:val="24"/>
          <w:szCs w:val="24"/>
          <w:shd w:val="clear" w:color="auto" w:fill="FFFFFF"/>
        </w:rPr>
        <w:t xml:space="preserve"> </w:t>
      </w:r>
    </w:p>
    <w:p w14:paraId="7C4DC11F" w14:textId="77777777" w:rsidR="006A0D71" w:rsidRPr="00851D91" w:rsidRDefault="006A0D71" w:rsidP="006A0D71">
      <w:pPr>
        <w:ind w:firstLine="720"/>
        <w:rPr>
          <w:rFonts w:ascii="Palatino Linotype" w:hAnsi="Palatino Linotype"/>
          <w:sz w:val="24"/>
          <w:szCs w:val="24"/>
          <w:shd w:val="clear" w:color="auto" w:fill="FFFFFF"/>
        </w:rPr>
      </w:pPr>
      <w:r>
        <w:rPr>
          <w:rFonts w:ascii="Palatino Linotype" w:hAnsi="Palatino Linotype"/>
          <w:sz w:val="24"/>
          <w:szCs w:val="24"/>
          <w:shd w:val="clear" w:color="auto" w:fill="FFFFFF"/>
        </w:rPr>
        <w:t xml:space="preserve">The </w:t>
      </w:r>
      <w:r w:rsidRPr="00851D91">
        <w:rPr>
          <w:rFonts w:ascii="Palatino Linotype" w:hAnsi="Palatino Linotype"/>
          <w:sz w:val="24"/>
          <w:szCs w:val="24"/>
          <w:shd w:val="clear" w:color="auto" w:fill="FFFFFF"/>
        </w:rPr>
        <w:t>proposed Redacted Restrictive Covenant Modification documents that were not approved by County Counsel will be tracked and logged in the RECOMP Division’s database.</w:t>
      </w:r>
    </w:p>
    <w:p w14:paraId="4DF6C4F0" w14:textId="77777777" w:rsidR="006A0D71" w:rsidRDefault="006A0D71" w:rsidP="006A0D71">
      <w:pPr>
        <w:rPr>
          <w:rFonts w:ascii="Palatino Linotype" w:hAnsi="Palatino Linotype"/>
          <w:sz w:val="24"/>
          <w:szCs w:val="24"/>
          <w:shd w:val="clear" w:color="auto" w:fill="FFFFFF"/>
        </w:rPr>
      </w:pPr>
    </w:p>
    <w:p w14:paraId="0EEDFCA3" w14:textId="77777777" w:rsidR="006A0D71" w:rsidRPr="00C54216" w:rsidRDefault="006A0D71" w:rsidP="006A0D71">
      <w:pPr>
        <w:rPr>
          <w:rFonts w:ascii="Palatino Linotype" w:hAnsi="Palatino Linotype"/>
          <w:b/>
          <w:bCs/>
          <w:sz w:val="24"/>
          <w:szCs w:val="24"/>
          <w:u w:val="single"/>
          <w:shd w:val="clear" w:color="auto" w:fill="FFFFFF"/>
        </w:rPr>
      </w:pPr>
      <w:r w:rsidRPr="00C54216">
        <w:rPr>
          <w:rFonts w:ascii="Palatino Linotype" w:hAnsi="Palatino Linotype"/>
          <w:b/>
          <w:bCs/>
          <w:sz w:val="24"/>
          <w:szCs w:val="24"/>
          <w:u w:val="single"/>
          <w:shd w:val="clear" w:color="auto" w:fill="FFFFFF"/>
        </w:rPr>
        <w:t>Webpage Posting</w:t>
      </w:r>
    </w:p>
    <w:p w14:paraId="5B01BDB3" w14:textId="43664264" w:rsidR="006A0D71" w:rsidRDefault="006A0D71" w:rsidP="006A0D71">
      <w:pPr>
        <w:rPr>
          <w:rFonts w:ascii="Palatino Linotype" w:hAnsi="Palatino Linotype"/>
          <w:sz w:val="24"/>
          <w:szCs w:val="24"/>
          <w:shd w:val="clear" w:color="auto" w:fill="FFFFFF"/>
        </w:rPr>
      </w:pPr>
      <w:r w:rsidRPr="00851D91">
        <w:rPr>
          <w:rFonts w:ascii="Palatino Linotype" w:hAnsi="Palatino Linotype"/>
          <w:sz w:val="24"/>
          <w:szCs w:val="24"/>
          <w:shd w:val="clear" w:color="auto" w:fill="FFFFFF"/>
        </w:rPr>
        <w:tab/>
      </w:r>
      <w:r>
        <w:rPr>
          <w:rFonts w:ascii="Palatino Linotype" w:hAnsi="Palatino Linotype"/>
          <w:sz w:val="24"/>
          <w:szCs w:val="24"/>
          <w:shd w:val="clear" w:color="auto" w:fill="FFFFFF"/>
        </w:rPr>
        <w:t>This Implementation Plan is posted at the County Clerk-Recorder’s webpage and can be found in the following link:</w:t>
      </w:r>
    </w:p>
    <w:p w14:paraId="450DC47A" w14:textId="20A26B3E" w:rsidR="00081AFC" w:rsidRDefault="00081AFC" w:rsidP="006A0D71">
      <w:pPr>
        <w:rPr>
          <w:rFonts w:ascii="Palatino Linotype" w:hAnsi="Palatino Linotype"/>
          <w:sz w:val="24"/>
          <w:szCs w:val="24"/>
          <w:shd w:val="clear" w:color="auto" w:fill="FFFFFF"/>
        </w:rPr>
      </w:pPr>
      <w:r>
        <w:rPr>
          <w:rFonts w:ascii="Palatino Linotype" w:hAnsi="Palatino Linotype"/>
          <w:sz w:val="24"/>
          <w:szCs w:val="24"/>
          <w:shd w:val="clear" w:color="auto" w:fill="FFFFFF"/>
        </w:rPr>
        <w:tab/>
      </w:r>
      <w:hyperlink r:id="rId6" w:history="1">
        <w:r w:rsidRPr="00081AFC">
          <w:rPr>
            <w:rStyle w:val="Hyperlink"/>
            <w:rFonts w:ascii="Palatino Linotype" w:hAnsi="Palatino Linotype"/>
            <w:sz w:val="24"/>
            <w:szCs w:val="24"/>
            <w:shd w:val="clear" w:color="auto" w:fill="FFFFFF"/>
          </w:rPr>
          <w:t>Restrictive Covenant Modification Program (Assembly Bill 1466)</w:t>
        </w:r>
      </w:hyperlink>
    </w:p>
    <w:p w14:paraId="7AAE0115" w14:textId="77777777" w:rsidR="006A0D71" w:rsidRPr="00851D91" w:rsidRDefault="006A0D71" w:rsidP="006A0D71">
      <w:pPr>
        <w:rPr>
          <w:rFonts w:ascii="Palatino Linotype" w:hAnsi="Palatino Linotype"/>
          <w:sz w:val="24"/>
          <w:szCs w:val="24"/>
          <w:shd w:val="clear" w:color="auto" w:fill="FFFFFF"/>
        </w:rPr>
      </w:pPr>
    </w:p>
    <w:p w14:paraId="006C7AF8" w14:textId="77777777" w:rsidR="006A0D71" w:rsidRPr="00851D91" w:rsidRDefault="006A0D71" w:rsidP="006A0D71">
      <w:pPr>
        <w:rPr>
          <w:rFonts w:ascii="Palatino Linotype" w:hAnsi="Palatino Linotype"/>
          <w:sz w:val="24"/>
          <w:szCs w:val="24"/>
          <w:shd w:val="clear" w:color="auto" w:fill="FFFFFF"/>
        </w:rPr>
      </w:pPr>
      <w:r w:rsidRPr="00851D91">
        <w:rPr>
          <w:rFonts w:ascii="Palatino Linotype" w:hAnsi="Palatino Linotype"/>
          <w:sz w:val="24"/>
          <w:szCs w:val="24"/>
          <w:u w:val="single"/>
          <w:shd w:val="clear" w:color="auto" w:fill="FFFFFF"/>
        </w:rPr>
        <w:t>Resources:</w:t>
      </w:r>
    </w:p>
    <w:p w14:paraId="5CB624C7" w14:textId="77777777" w:rsidR="006A0D71" w:rsidRPr="00851D91" w:rsidRDefault="006D287C" w:rsidP="006A0D71">
      <w:pPr>
        <w:rPr>
          <w:rFonts w:ascii="Palatino Linotype" w:hAnsi="Palatino Linotype"/>
          <w:sz w:val="24"/>
          <w:szCs w:val="24"/>
          <w:shd w:val="clear" w:color="auto" w:fill="FFFFFF"/>
        </w:rPr>
      </w:pPr>
      <w:hyperlink r:id="rId7" w:history="1">
        <w:r w:rsidR="006A0D71" w:rsidRPr="00851D91">
          <w:rPr>
            <w:rStyle w:val="Hyperlink"/>
            <w:rFonts w:ascii="Palatino Linotype" w:hAnsi="Palatino Linotype"/>
            <w:sz w:val="24"/>
            <w:szCs w:val="24"/>
            <w:shd w:val="clear" w:color="auto" w:fill="FFFFFF"/>
          </w:rPr>
          <w:t>Assembly Bill No. 1466</w:t>
        </w:r>
      </w:hyperlink>
    </w:p>
    <w:p w14:paraId="52ADD856" w14:textId="77777777" w:rsidR="006A0D71" w:rsidRPr="00851D91" w:rsidRDefault="006D287C" w:rsidP="006A0D71">
      <w:pPr>
        <w:rPr>
          <w:rFonts w:ascii="Palatino Linotype" w:hAnsi="Palatino Linotype"/>
          <w:sz w:val="24"/>
          <w:szCs w:val="24"/>
        </w:rPr>
      </w:pPr>
      <w:hyperlink r:id="rId8" w:history="1">
        <w:r w:rsidR="006A0D71" w:rsidRPr="00851D91">
          <w:rPr>
            <w:rStyle w:val="Hyperlink"/>
            <w:rFonts w:ascii="Palatino Linotype" w:hAnsi="Palatino Linotype"/>
            <w:sz w:val="24"/>
            <w:szCs w:val="24"/>
          </w:rPr>
          <w:t>California Government Code Section 12956.3</w:t>
        </w:r>
      </w:hyperlink>
    </w:p>
    <w:p w14:paraId="72512BB6" w14:textId="77777777" w:rsidR="006A0D71" w:rsidRPr="00851D91" w:rsidRDefault="006D287C" w:rsidP="006A0D71">
      <w:pPr>
        <w:rPr>
          <w:rFonts w:ascii="Palatino Linotype" w:hAnsi="Palatino Linotype"/>
          <w:sz w:val="24"/>
          <w:szCs w:val="24"/>
        </w:rPr>
      </w:pPr>
      <w:hyperlink r:id="rId9" w:history="1">
        <w:r w:rsidR="006A0D71" w:rsidRPr="00851D91">
          <w:rPr>
            <w:rStyle w:val="Hyperlink"/>
            <w:rFonts w:ascii="Palatino Linotype" w:hAnsi="Palatino Linotype"/>
            <w:sz w:val="24"/>
            <w:szCs w:val="24"/>
          </w:rPr>
          <w:t>California Government Code Section 27388.2</w:t>
        </w:r>
      </w:hyperlink>
    </w:p>
    <w:p w14:paraId="2F06E878" w14:textId="77777777" w:rsidR="006A0D71" w:rsidRPr="00851D91" w:rsidRDefault="006D287C" w:rsidP="006A0D71">
      <w:pPr>
        <w:rPr>
          <w:rFonts w:ascii="Palatino Linotype" w:hAnsi="Palatino Linotype"/>
          <w:sz w:val="24"/>
          <w:szCs w:val="24"/>
        </w:rPr>
      </w:pPr>
      <w:hyperlink r:id="rId10" w:history="1">
        <w:r w:rsidR="006A0D71" w:rsidRPr="00851D91">
          <w:rPr>
            <w:rStyle w:val="Hyperlink"/>
            <w:rFonts w:ascii="Palatino Linotype" w:hAnsi="Palatino Linotype"/>
            <w:sz w:val="24"/>
            <w:szCs w:val="24"/>
          </w:rPr>
          <w:t>COVERSHEET - Racially Restrictive Covenant Modification (Template)</w:t>
        </w:r>
      </w:hyperlink>
    </w:p>
    <w:p w14:paraId="3711071B" w14:textId="77777777" w:rsidR="006A0D71" w:rsidRPr="00851D91" w:rsidRDefault="006A0D71" w:rsidP="006A0D71">
      <w:pPr>
        <w:rPr>
          <w:rFonts w:ascii="Palatino Linotype" w:hAnsi="Palatino Linotype"/>
          <w:sz w:val="24"/>
          <w:szCs w:val="24"/>
          <w:shd w:val="clear" w:color="auto" w:fill="FFFFFF"/>
        </w:rPr>
      </w:pPr>
    </w:p>
    <w:p w14:paraId="61CD6246" w14:textId="77777777" w:rsidR="008D2E4C" w:rsidRDefault="008D2E4C"/>
    <w:sectPr w:rsidR="008D2E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1CEF" w14:textId="77777777" w:rsidR="00227CCE" w:rsidRDefault="00227CCE">
      <w:pPr>
        <w:spacing w:after="0" w:line="240" w:lineRule="auto"/>
      </w:pPr>
      <w:r>
        <w:separator/>
      </w:r>
    </w:p>
  </w:endnote>
  <w:endnote w:type="continuationSeparator" w:id="0">
    <w:p w14:paraId="7A7D0894" w14:textId="77777777" w:rsidR="00227CCE" w:rsidRDefault="0022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EF37" w14:textId="77777777" w:rsidR="00E76D0F" w:rsidRDefault="00E76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216D" w14:textId="77777777" w:rsidR="00E76D0F" w:rsidRDefault="00E76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E01E" w14:textId="77777777" w:rsidR="00E76D0F" w:rsidRDefault="00E76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68ED" w14:textId="77777777" w:rsidR="00227CCE" w:rsidRDefault="00227CCE">
      <w:pPr>
        <w:spacing w:after="0" w:line="240" w:lineRule="auto"/>
      </w:pPr>
      <w:r>
        <w:separator/>
      </w:r>
    </w:p>
  </w:footnote>
  <w:footnote w:type="continuationSeparator" w:id="0">
    <w:p w14:paraId="19F0F789" w14:textId="77777777" w:rsidR="00227CCE" w:rsidRDefault="0022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92B1" w14:textId="0367A708" w:rsidR="00207BBF" w:rsidRDefault="006D287C">
    <w:pPr>
      <w:pStyle w:val="Header"/>
    </w:pPr>
    <w:r>
      <w:rPr>
        <w:noProof/>
      </w:rPr>
      <w:pict w14:anchorId="3A7F9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54766" o:spid="_x0000_s1028" type="#_x0000_t75" style="position:absolute;margin-left:0;margin-top:0;width:467.9pt;height:467.9pt;z-index:-251657216;mso-position-horizontal:center;mso-position-horizontal-relative:margin;mso-position-vertical:center;mso-position-vertical-relative:margin" o:allowincell="f">
          <v:imagedata r:id="rId1" o:title="CRO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9B0A" w14:textId="4B078DA0" w:rsidR="00E76D0F" w:rsidRDefault="006D287C">
    <w:pPr>
      <w:pStyle w:val="Header"/>
    </w:pPr>
    <w:r>
      <w:rPr>
        <w:noProof/>
      </w:rPr>
      <w:pict w14:anchorId="7BD11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54767" o:spid="_x0000_s1029" type="#_x0000_t75" style="position:absolute;margin-left:0;margin-top:0;width:467.9pt;height:467.9pt;z-index:-251656192;mso-position-horizontal:center;mso-position-horizontal-relative:margin;mso-position-vertical:center;mso-position-vertical-relative:margin" o:allowincell="f">
          <v:imagedata r:id="rId1" o:title="CRO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D973" w14:textId="5DD1BA54" w:rsidR="00207BBF" w:rsidRDefault="006D287C">
    <w:pPr>
      <w:pStyle w:val="Header"/>
    </w:pPr>
    <w:r>
      <w:rPr>
        <w:noProof/>
      </w:rPr>
      <w:pict w14:anchorId="51E61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54765" o:spid="_x0000_s1027" type="#_x0000_t75" style="position:absolute;margin-left:0;margin-top:0;width:467.9pt;height:467.9pt;z-index:-251658240;mso-position-horizontal:center;mso-position-horizontal-relative:margin;mso-position-vertical:center;mso-position-vertical-relative:margin" o:allowincell="f">
          <v:imagedata r:id="rId1" o:title="CRO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1"/>
    <w:rsid w:val="00081AFC"/>
    <w:rsid w:val="00227CCE"/>
    <w:rsid w:val="0040106A"/>
    <w:rsid w:val="004069FA"/>
    <w:rsid w:val="006A0D71"/>
    <w:rsid w:val="006D287C"/>
    <w:rsid w:val="00856450"/>
    <w:rsid w:val="008D2E4C"/>
    <w:rsid w:val="00B3605B"/>
    <w:rsid w:val="00D05E29"/>
    <w:rsid w:val="00E7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665F5"/>
  <w15:chartTrackingRefBased/>
  <w15:docId w15:val="{E4643AC6-7F39-4E41-A072-1DE6FB9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D71"/>
    <w:rPr>
      <w:color w:val="0563C1" w:themeColor="hyperlink"/>
      <w:u w:val="single"/>
    </w:rPr>
  </w:style>
  <w:style w:type="character" w:styleId="CommentReference">
    <w:name w:val="annotation reference"/>
    <w:basedOn w:val="DefaultParagraphFont"/>
    <w:uiPriority w:val="99"/>
    <w:semiHidden/>
    <w:unhideWhenUsed/>
    <w:rsid w:val="006A0D71"/>
    <w:rPr>
      <w:sz w:val="16"/>
      <w:szCs w:val="16"/>
    </w:rPr>
  </w:style>
  <w:style w:type="paragraph" w:styleId="CommentText">
    <w:name w:val="annotation text"/>
    <w:basedOn w:val="Normal"/>
    <w:link w:val="CommentTextChar"/>
    <w:uiPriority w:val="99"/>
    <w:unhideWhenUsed/>
    <w:rsid w:val="006A0D71"/>
    <w:pPr>
      <w:spacing w:line="240" w:lineRule="auto"/>
    </w:pPr>
    <w:rPr>
      <w:sz w:val="20"/>
      <w:szCs w:val="20"/>
    </w:rPr>
  </w:style>
  <w:style w:type="character" w:customStyle="1" w:styleId="CommentTextChar">
    <w:name w:val="Comment Text Char"/>
    <w:basedOn w:val="DefaultParagraphFont"/>
    <w:link w:val="CommentText"/>
    <w:uiPriority w:val="99"/>
    <w:rsid w:val="006A0D71"/>
    <w:rPr>
      <w:sz w:val="20"/>
      <w:szCs w:val="20"/>
    </w:rPr>
  </w:style>
  <w:style w:type="table" w:styleId="TableGrid">
    <w:name w:val="Table Grid"/>
    <w:basedOn w:val="TableNormal"/>
    <w:uiPriority w:val="39"/>
    <w:rsid w:val="006A0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71"/>
  </w:style>
  <w:style w:type="paragraph" w:styleId="Footer">
    <w:name w:val="footer"/>
    <w:basedOn w:val="Normal"/>
    <w:link w:val="FooterChar"/>
    <w:uiPriority w:val="99"/>
    <w:unhideWhenUsed/>
    <w:rsid w:val="006A0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71"/>
  </w:style>
  <w:style w:type="character" w:styleId="UnresolvedMention">
    <w:name w:val="Unresolved Mention"/>
    <w:basedOn w:val="DefaultParagraphFont"/>
    <w:uiPriority w:val="99"/>
    <w:semiHidden/>
    <w:unhideWhenUsed/>
    <w:rsid w:val="00081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sectionNum=12956.3&amp;lawCode=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info.legislature.ca.gov/faces/billNavClient.xhtml?bill_id=202120220AB146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clerkrecorder.sccgov.org/restrictive-covenant-modification-progra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clerkrecorder.sccgov.org/sites/g/files/exjcpb516/files/form/Racially%20Restrictive%20Covenant%20Modification%20Form%20%2803-09-2022%29.pdf" TargetMode="External"/><Relationship Id="rId4" Type="http://schemas.openxmlformats.org/officeDocument/2006/relationships/footnotes" Target="footnotes.xml"/><Relationship Id="rId9" Type="http://schemas.openxmlformats.org/officeDocument/2006/relationships/hyperlink" Target="https://leginfo.legislature.ca.gov/faces/codes_displaySection.xhtml?sectionNum=27388.2&amp;lawCode=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Chiaramonte, Louis</dc:creator>
  <cp:keywords/>
  <dc:description/>
  <cp:lastModifiedBy>Cao, Trang</cp:lastModifiedBy>
  <cp:revision>3</cp:revision>
  <dcterms:created xsi:type="dcterms:W3CDTF">2022-07-01T18:15:00Z</dcterms:created>
  <dcterms:modified xsi:type="dcterms:W3CDTF">2022-07-01T20:42:00Z</dcterms:modified>
</cp:coreProperties>
</file>